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3286" w14:textId="10723FFC" w:rsidR="004918A4" w:rsidRPr="004918A4" w:rsidRDefault="009D7633" w:rsidP="00444D86">
      <w:pPr>
        <w:spacing w:after="0" w:line="300" w:lineRule="atLeast"/>
        <w:rPr>
          <w:rFonts w:ascii="Segoe UI" w:eastAsia="Times New Roman" w:hAnsi="Segoe UI" w:cs="Segoe UI"/>
          <w:sz w:val="21"/>
          <w:szCs w:val="21"/>
          <w:lang w:eastAsia="en-GB"/>
        </w:rPr>
      </w:pPr>
      <w:r>
        <w:rPr>
          <w:rFonts w:ascii="Segoe UI" w:eastAsia="Times New Roman" w:hAnsi="Segoe UI" w:cs="Segoe UI"/>
          <w:noProof/>
          <w:sz w:val="21"/>
          <w:szCs w:val="21"/>
          <w:lang w:eastAsia="en-GB"/>
        </w:rPr>
        <w:pict w14:anchorId="11EC0E33">
          <v:rect id="_x0000_i1026" alt="" style="width:451.3pt;height:.05pt;mso-width-percent:0;mso-height-percent:0;mso-width-percent:0;mso-height-percent:0" o:hralign="center" o:hrstd="t" o:hr="t" fillcolor="#a0a0a0" stroked="f"/>
        </w:pict>
      </w:r>
      <w:r w:rsidR="004918A4" w:rsidRPr="004918A4">
        <w:rPr>
          <w:rFonts w:ascii="Segoe UI" w:eastAsia="Times New Roman" w:hAnsi="Segoe UI" w:cs="Segoe UI"/>
          <w:b/>
          <w:bCs/>
          <w:sz w:val="21"/>
          <w:szCs w:val="21"/>
          <w:lang w:eastAsia="en-GB"/>
        </w:rPr>
        <w:t>Public Value Statement</w:t>
      </w:r>
    </w:p>
    <w:p w14:paraId="11CC129A" w14:textId="77777777" w:rsidR="004918A4" w:rsidRPr="004918A4" w:rsidRDefault="004918A4" w:rsidP="004918A4">
      <w:pPr>
        <w:spacing w:before="100" w:beforeAutospacing="1" w:after="100" w:afterAutospacing="1" w:line="300" w:lineRule="atLeast"/>
        <w:rPr>
          <w:rFonts w:ascii="Segoe UI" w:eastAsia="Times New Roman" w:hAnsi="Segoe UI" w:cs="Segoe UI"/>
          <w:sz w:val="21"/>
          <w:szCs w:val="21"/>
          <w:lang w:eastAsia="en-GB"/>
        </w:rPr>
      </w:pPr>
      <w:r w:rsidRPr="004918A4">
        <w:rPr>
          <w:rFonts w:ascii="Segoe UI" w:eastAsia="Times New Roman" w:hAnsi="Segoe UI" w:cs="Segoe UI"/>
          <w:sz w:val="21"/>
          <w:szCs w:val="21"/>
          <w:lang w:eastAsia="en-GB"/>
        </w:rPr>
        <w:t>The South Hampshire College Group (SHCG) is committed to contributing and responding to the needs of our community through collaborative partnership working, innovative engagement, and the creation of opportunities for the practical benefit of the people, businesses, and communities that we serve.</w:t>
      </w:r>
    </w:p>
    <w:p w14:paraId="686FC4E7" w14:textId="7C82C77C" w:rsidR="00444D86" w:rsidRDefault="00444D86" w:rsidP="004918A4">
      <w:pPr>
        <w:spacing w:before="100" w:beforeAutospacing="1" w:after="100" w:afterAutospacing="1" w:line="300" w:lineRule="atLeast"/>
        <w:rPr>
          <w:rFonts w:ascii="Segoe UI" w:eastAsia="Times New Roman" w:hAnsi="Segoe UI" w:cs="Segoe UI"/>
          <w:sz w:val="21"/>
          <w:szCs w:val="21"/>
          <w:lang w:eastAsia="en-GB"/>
        </w:rPr>
      </w:pPr>
      <w:r>
        <w:rPr>
          <w:rFonts w:ascii="Segoe UI" w:eastAsia="Times New Roman" w:hAnsi="Segoe UI" w:cs="Segoe UI"/>
          <w:sz w:val="21"/>
          <w:szCs w:val="21"/>
          <w:lang w:eastAsia="en-GB"/>
        </w:rPr>
        <w:t>In our strategic plan 2023 -2026, our purpose is defined as ‘creating better futures’, by this we mean that our actions help our students progress into employment, or our adult learners and apprentices enhance their skills and employment prospects. Our mission is ‘to enable all our students and apprentices, and our region’s businesses to be successful in their future, achieving their highest aspirations and standards, through exemplary technical and professional education and training’.</w:t>
      </w:r>
    </w:p>
    <w:p w14:paraId="59AE50F0" w14:textId="77777777" w:rsidR="004918A4" w:rsidRPr="004918A4" w:rsidRDefault="004918A4" w:rsidP="004918A4">
      <w:pPr>
        <w:spacing w:before="100" w:beforeAutospacing="1" w:after="100" w:afterAutospacing="1" w:line="300" w:lineRule="atLeast"/>
        <w:rPr>
          <w:rFonts w:ascii="Segoe UI" w:eastAsia="Times New Roman" w:hAnsi="Segoe UI" w:cs="Segoe UI"/>
          <w:sz w:val="21"/>
          <w:szCs w:val="21"/>
          <w:lang w:eastAsia="en-GB"/>
        </w:rPr>
      </w:pPr>
      <w:r w:rsidRPr="004918A4">
        <w:rPr>
          <w:rFonts w:ascii="Segoe UI" w:eastAsia="Times New Roman" w:hAnsi="Segoe UI" w:cs="Segoe UI"/>
          <w:sz w:val="21"/>
          <w:szCs w:val="21"/>
          <w:lang w:eastAsia="en-GB"/>
        </w:rPr>
        <w:t>SHCG serves the communities of Fareham, Eastleigh, and Southampton. Between these areas, there are approximately 500,000 residents. All three areas have economic activity rates higher than the national rates and out-of-work claimant rates lower than national rates. Fareham outperforms Eastleigh and Southampton on both measures.</w:t>
      </w:r>
    </w:p>
    <w:p w14:paraId="0F63DE2F" w14:textId="77777777" w:rsidR="004918A4" w:rsidRPr="004918A4" w:rsidRDefault="004918A4" w:rsidP="004918A4">
      <w:pPr>
        <w:spacing w:before="100" w:beforeAutospacing="1" w:after="100" w:afterAutospacing="1" w:line="300" w:lineRule="atLeast"/>
        <w:rPr>
          <w:rFonts w:ascii="Segoe UI" w:eastAsia="Times New Roman" w:hAnsi="Segoe UI" w:cs="Segoe UI"/>
          <w:sz w:val="21"/>
          <w:szCs w:val="21"/>
          <w:lang w:eastAsia="en-GB"/>
        </w:rPr>
      </w:pPr>
      <w:r w:rsidRPr="004918A4">
        <w:rPr>
          <w:rFonts w:ascii="Segoe UI" w:eastAsia="Times New Roman" w:hAnsi="Segoe UI" w:cs="Segoe UI"/>
          <w:sz w:val="21"/>
          <w:szCs w:val="21"/>
          <w:lang w:eastAsia="en-GB"/>
        </w:rPr>
        <w:t>The local authority is Hampshire County Council, and the college also works closely with the unitary authorities of Portsmouth and Southampton City Councils. Hampshire county’s economy is worth more than £35 billion, with 65,000 businesses operating in the area and over 689,000 people in work.</w:t>
      </w:r>
    </w:p>
    <w:p w14:paraId="054F6022" w14:textId="77777777" w:rsidR="004918A4" w:rsidRPr="004918A4" w:rsidRDefault="004918A4" w:rsidP="004918A4">
      <w:pPr>
        <w:spacing w:before="100" w:beforeAutospacing="1" w:after="100" w:afterAutospacing="1" w:line="300" w:lineRule="atLeast"/>
        <w:rPr>
          <w:rFonts w:ascii="Segoe UI" w:eastAsia="Times New Roman" w:hAnsi="Segoe UI" w:cs="Segoe UI"/>
          <w:sz w:val="21"/>
          <w:szCs w:val="21"/>
          <w:lang w:eastAsia="en-GB"/>
        </w:rPr>
      </w:pPr>
      <w:r w:rsidRPr="004918A4">
        <w:rPr>
          <w:rFonts w:ascii="Segoe UI" w:eastAsia="Times New Roman" w:hAnsi="Segoe UI" w:cs="Segoe UI"/>
          <w:sz w:val="21"/>
          <w:szCs w:val="21"/>
          <w:lang w:eastAsia="en-GB"/>
        </w:rPr>
        <w:t>SHCG is actively involved in the Local Skills Improvement Plan (LSIP), led by the Hampshire Chamber of Commerce. The LSIP aims to align technical skills provision with local labour market needs, ensuring that training programs meet the demands of employers and support regional economic growth. The Hampshire Chamber of Commerce plays a crucial role in facilitating collaboration between employers, education providers, and other stakeholders to address skills gaps and promote workforce development.</w:t>
      </w:r>
    </w:p>
    <w:p w14:paraId="7A5F3107" w14:textId="5D87E101" w:rsidR="004918A4" w:rsidRPr="004918A4" w:rsidRDefault="004918A4" w:rsidP="004918A4">
      <w:pPr>
        <w:spacing w:before="100" w:beforeAutospacing="1" w:after="100" w:afterAutospacing="1" w:line="300" w:lineRule="atLeast"/>
        <w:rPr>
          <w:rFonts w:ascii="Segoe UI" w:eastAsia="Times New Roman" w:hAnsi="Segoe UI" w:cs="Segoe UI"/>
          <w:sz w:val="21"/>
          <w:szCs w:val="21"/>
          <w:lang w:eastAsia="en-GB"/>
        </w:rPr>
      </w:pPr>
      <w:r w:rsidRPr="004918A4">
        <w:rPr>
          <w:rFonts w:ascii="Segoe UI" w:eastAsia="Times New Roman" w:hAnsi="Segoe UI" w:cs="Segoe UI"/>
          <w:sz w:val="21"/>
          <w:szCs w:val="21"/>
          <w:lang w:eastAsia="en-GB"/>
        </w:rPr>
        <w:t>Our curriculum is increasingly shaped by the research within the LSIP, regional labour market information, and feedback received from working collaboratively with employers.</w:t>
      </w:r>
      <w:r w:rsidR="00872AC7">
        <w:rPr>
          <w:rFonts w:ascii="Segoe UI" w:eastAsia="Times New Roman" w:hAnsi="Segoe UI" w:cs="Segoe UI"/>
          <w:sz w:val="21"/>
          <w:szCs w:val="21"/>
          <w:lang w:eastAsia="en-GB"/>
        </w:rPr>
        <w:t xml:space="preserve"> </w:t>
      </w:r>
      <w:r w:rsidRPr="004918A4">
        <w:rPr>
          <w:rFonts w:ascii="Segoe UI" w:eastAsia="Times New Roman" w:hAnsi="Segoe UI" w:cs="Segoe UI"/>
          <w:sz w:val="21"/>
          <w:szCs w:val="21"/>
          <w:lang w:eastAsia="en-GB"/>
        </w:rPr>
        <w:t>As we deliver our strategic plan, the LSIP’s commitment to addressing the skills needs of the region is deeply embedded in the work we do and the decisions we make.</w:t>
      </w:r>
    </w:p>
    <w:p w14:paraId="30E8DE64" w14:textId="75485119" w:rsidR="004918A4" w:rsidRPr="004918A4" w:rsidRDefault="004918A4" w:rsidP="004918A4">
      <w:pPr>
        <w:spacing w:before="100" w:beforeAutospacing="1" w:after="100" w:afterAutospacing="1" w:line="300" w:lineRule="atLeast"/>
        <w:rPr>
          <w:rFonts w:ascii="Segoe UI" w:eastAsia="Times New Roman" w:hAnsi="Segoe UI" w:cs="Segoe UI"/>
          <w:sz w:val="21"/>
          <w:szCs w:val="21"/>
          <w:lang w:eastAsia="en-GB"/>
        </w:rPr>
      </w:pPr>
      <w:r w:rsidRPr="004918A4">
        <w:rPr>
          <w:rFonts w:ascii="Segoe UI" w:eastAsia="Times New Roman" w:hAnsi="Segoe UI" w:cs="Segoe UI"/>
          <w:sz w:val="21"/>
          <w:szCs w:val="21"/>
          <w:lang w:eastAsia="en-GB"/>
        </w:rPr>
        <w:t>For more details about how we are aiming to meet the aims of the LSIP, please see our</w:t>
      </w:r>
      <w:r w:rsidR="00872AC7">
        <w:rPr>
          <w:rFonts w:ascii="Segoe UI" w:eastAsia="Times New Roman" w:hAnsi="Segoe UI" w:cs="Segoe UI"/>
          <w:sz w:val="21"/>
          <w:szCs w:val="21"/>
          <w:lang w:eastAsia="en-GB"/>
        </w:rPr>
        <w:t xml:space="preserve"> </w:t>
      </w:r>
      <w:hyperlink r:id="rId4" w:history="1">
        <w:r w:rsidR="00872AC7" w:rsidRPr="00A451C0">
          <w:rPr>
            <w:rStyle w:val="Hyperlink"/>
            <w:rFonts w:ascii="Segoe UI" w:eastAsia="Times New Roman" w:hAnsi="Segoe UI" w:cs="Segoe UI"/>
            <w:sz w:val="21"/>
            <w:szCs w:val="21"/>
            <w:lang w:eastAsia="en-GB"/>
          </w:rPr>
          <w:t>accountability statement</w:t>
        </w:r>
      </w:hyperlink>
    </w:p>
    <w:p w14:paraId="6651D7F6" w14:textId="77777777" w:rsidR="00444D86" w:rsidRDefault="004918A4" w:rsidP="00444D86">
      <w:pPr>
        <w:spacing w:before="100" w:beforeAutospacing="1" w:after="100" w:afterAutospacing="1" w:line="300" w:lineRule="atLeast"/>
        <w:rPr>
          <w:rFonts w:ascii="Segoe UI" w:eastAsia="Times New Roman" w:hAnsi="Segoe UI" w:cs="Segoe UI"/>
          <w:sz w:val="21"/>
          <w:szCs w:val="21"/>
          <w:lang w:eastAsia="en-GB"/>
        </w:rPr>
      </w:pPr>
      <w:r w:rsidRPr="004918A4">
        <w:rPr>
          <w:rFonts w:ascii="Segoe UI" w:eastAsia="Times New Roman" w:hAnsi="Segoe UI" w:cs="Segoe UI"/>
          <w:sz w:val="21"/>
          <w:szCs w:val="21"/>
          <w:lang w:eastAsia="en-GB"/>
        </w:rPr>
        <w:t>The success of our students is dependent on them having the skills needed to be sought-after employees in the Solent business community. Our future funding is dependent on being able to evidence our ability to continually improve student outcomes, destinations, and deliver future economic productivity gains.</w:t>
      </w:r>
    </w:p>
    <w:p w14:paraId="0AFB0BEF" w14:textId="0A0D735A" w:rsidR="004918A4" w:rsidRPr="004918A4" w:rsidRDefault="00444D86" w:rsidP="00444D86">
      <w:pPr>
        <w:spacing w:before="100" w:beforeAutospacing="1" w:after="100" w:afterAutospacing="1" w:line="300" w:lineRule="atLeast"/>
        <w:rPr>
          <w:rFonts w:ascii="Segoe UI" w:eastAsia="Times New Roman" w:hAnsi="Segoe UI" w:cs="Segoe UI"/>
          <w:sz w:val="21"/>
          <w:szCs w:val="21"/>
          <w:lang w:eastAsia="en-GB"/>
        </w:rPr>
      </w:pPr>
      <w:r>
        <w:rPr>
          <w:rFonts w:ascii="Segoe UI" w:eastAsia="Times New Roman" w:hAnsi="Segoe UI" w:cs="Segoe UI"/>
          <w:sz w:val="21"/>
          <w:szCs w:val="21"/>
          <w:lang w:eastAsia="en-GB"/>
        </w:rPr>
        <w:lastRenderedPageBreak/>
        <w:t xml:space="preserve">We pride ourselves on providing a </w:t>
      </w:r>
      <w:proofErr w:type="gramStart"/>
      <w:r>
        <w:rPr>
          <w:rFonts w:ascii="Segoe UI" w:eastAsia="Times New Roman" w:hAnsi="Segoe UI" w:cs="Segoe UI"/>
          <w:sz w:val="21"/>
          <w:szCs w:val="21"/>
          <w:lang w:eastAsia="en-GB"/>
        </w:rPr>
        <w:t>high quality</w:t>
      </w:r>
      <w:proofErr w:type="gramEnd"/>
      <w:r>
        <w:rPr>
          <w:rFonts w:ascii="Segoe UI" w:eastAsia="Times New Roman" w:hAnsi="Segoe UI" w:cs="Segoe UI"/>
          <w:sz w:val="21"/>
          <w:szCs w:val="21"/>
          <w:lang w:eastAsia="en-GB"/>
        </w:rPr>
        <w:t xml:space="preserve"> public service, making full and best use of public funds available to do so.</w:t>
      </w:r>
      <w:r w:rsidR="009D7633">
        <w:rPr>
          <w:rFonts w:ascii="Segoe UI" w:eastAsia="Times New Roman" w:hAnsi="Segoe UI" w:cs="Segoe UI"/>
          <w:noProof/>
          <w:sz w:val="21"/>
          <w:szCs w:val="21"/>
          <w:lang w:eastAsia="en-GB"/>
        </w:rPr>
        <w:pict w14:anchorId="27E96B62">
          <v:rect id="_x0000_i1025" alt="" style="width:451.3pt;height:.05pt;mso-width-percent:0;mso-height-percent:0;mso-width-percent:0;mso-height-percent:0" o:hralign="center" o:hrstd="t" o:hr="t" fillcolor="#a0a0a0" stroked="f"/>
        </w:pict>
      </w:r>
    </w:p>
    <w:sectPr w:rsidR="004918A4" w:rsidRPr="00491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A4"/>
    <w:rsid w:val="000D612F"/>
    <w:rsid w:val="00176359"/>
    <w:rsid w:val="00444D86"/>
    <w:rsid w:val="004918A4"/>
    <w:rsid w:val="006A298B"/>
    <w:rsid w:val="00836687"/>
    <w:rsid w:val="00872AC7"/>
    <w:rsid w:val="009D7633"/>
    <w:rsid w:val="00A4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41F6"/>
  <w15:chartTrackingRefBased/>
  <w15:docId w15:val="{BF801FCF-3018-454E-8FB8-60674635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1C0"/>
    <w:rPr>
      <w:color w:val="0563C1" w:themeColor="hyperlink"/>
      <w:u w:val="single"/>
    </w:rPr>
  </w:style>
  <w:style w:type="character" w:styleId="UnresolvedMention">
    <w:name w:val="Unresolved Mention"/>
    <w:basedOn w:val="DefaultParagraphFont"/>
    <w:uiPriority w:val="99"/>
    <w:semiHidden/>
    <w:unhideWhenUsed/>
    <w:rsid w:val="00A45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52397">
      <w:bodyDiv w:val="1"/>
      <w:marLeft w:val="0"/>
      <w:marRight w:val="0"/>
      <w:marTop w:val="0"/>
      <w:marBottom w:val="0"/>
      <w:divBdr>
        <w:top w:val="none" w:sz="0" w:space="0" w:color="auto"/>
        <w:left w:val="none" w:sz="0" w:space="0" w:color="auto"/>
        <w:bottom w:val="none" w:sz="0" w:space="0" w:color="auto"/>
        <w:right w:val="none" w:sz="0" w:space="0" w:color="auto"/>
      </w:divBdr>
      <w:divsChild>
        <w:div w:id="4527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cg.ac.uk/wp-content/uploads/accountability-statement-24-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Flood</dc:creator>
  <cp:keywords/>
  <dc:description/>
  <cp:lastModifiedBy>Mike Buckley</cp:lastModifiedBy>
  <cp:revision>4</cp:revision>
  <dcterms:created xsi:type="dcterms:W3CDTF">2025-02-18T09:29:00Z</dcterms:created>
  <dcterms:modified xsi:type="dcterms:W3CDTF">2025-07-31T10:20:00Z</dcterms:modified>
</cp:coreProperties>
</file>